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9C1E" w14:textId="77777777" w:rsidR="00F4363A" w:rsidRDefault="00F0040D">
      <w:pPr>
        <w:spacing w:before="18"/>
        <w:ind w:left="2299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Texas Oral Health Coalition, Inc.</w:t>
      </w:r>
    </w:p>
    <w:p w14:paraId="217AD7B5" w14:textId="77777777" w:rsidR="00F4363A" w:rsidRDefault="00F4363A">
      <w:pPr>
        <w:pStyle w:val="BodyText"/>
        <w:spacing w:before="9"/>
        <w:ind w:left="0"/>
        <w:rPr>
          <w:b/>
          <w:sz w:val="37"/>
        </w:rPr>
      </w:pPr>
    </w:p>
    <w:p w14:paraId="00B20610" w14:textId="77777777" w:rsidR="00F4363A" w:rsidRDefault="00F0040D">
      <w:pPr>
        <w:ind w:left="100"/>
        <w:rPr>
          <w:b/>
        </w:rPr>
      </w:pPr>
      <w:r>
        <w:rPr>
          <w:b/>
          <w:u w:val="single"/>
        </w:rPr>
        <w:t>STRATEGIC PLAN – 2019-2022</w:t>
      </w:r>
    </w:p>
    <w:p w14:paraId="489F35FB" w14:textId="77777777" w:rsidR="00F4363A" w:rsidRDefault="00F4363A">
      <w:pPr>
        <w:pStyle w:val="BodyText"/>
        <w:spacing w:before="5"/>
        <w:ind w:left="0"/>
        <w:rPr>
          <w:b/>
          <w:sz w:val="17"/>
        </w:rPr>
      </w:pPr>
    </w:p>
    <w:p w14:paraId="1EE6B16F" w14:textId="77777777" w:rsidR="00F4363A" w:rsidRDefault="00F0040D">
      <w:pPr>
        <w:spacing w:before="56"/>
        <w:ind w:left="100"/>
        <w:rPr>
          <w:b/>
        </w:rPr>
      </w:pPr>
      <w:r>
        <w:rPr>
          <w:b/>
        </w:rPr>
        <w:t>Goal 1: Improve financial health of the organization</w:t>
      </w:r>
    </w:p>
    <w:p w14:paraId="1331A6B3" w14:textId="77777777" w:rsidR="00F4363A" w:rsidRDefault="00F0040D">
      <w:pPr>
        <w:pStyle w:val="BodyText"/>
        <w:spacing w:before="1"/>
        <w:ind w:left="100"/>
      </w:pPr>
      <w:r>
        <w:t>Objective A: Increase revenue by 20%</w:t>
      </w:r>
    </w:p>
    <w:p w14:paraId="72D4DD6B" w14:textId="77777777" w:rsidR="00F4363A" w:rsidRDefault="00F0040D">
      <w:pPr>
        <w:pStyle w:val="BodyText"/>
      </w:pPr>
      <w:r>
        <w:t>A.1: Explore and establish or revise the organizational infrastructure (thru Dec. 2019) A.2: Continue to grow partnerships (Ongoing thru 2022)</w:t>
      </w:r>
    </w:p>
    <w:p w14:paraId="6B3F3B25" w14:textId="77777777" w:rsidR="00F4363A" w:rsidRDefault="00F0040D">
      <w:pPr>
        <w:pStyle w:val="ListParagraph"/>
        <w:numPr>
          <w:ilvl w:val="0"/>
          <w:numId w:val="2"/>
        </w:numPr>
        <w:tabs>
          <w:tab w:val="left" w:pos="1365"/>
        </w:tabs>
        <w:spacing w:line="267" w:lineRule="exact"/>
        <w:ind w:hanging="184"/>
      </w:pPr>
      <w:r>
        <w:t>3: Establish membership committee to expand membership (By May 31,</w:t>
      </w:r>
      <w:r>
        <w:rPr>
          <w:spacing w:val="-26"/>
        </w:rPr>
        <w:t xml:space="preserve"> </w:t>
      </w:r>
      <w:r>
        <w:t>2019)</w:t>
      </w:r>
    </w:p>
    <w:p w14:paraId="73CCDC38" w14:textId="77777777" w:rsidR="00F4363A" w:rsidRDefault="00F4363A">
      <w:pPr>
        <w:pStyle w:val="BodyText"/>
        <w:ind w:left="0"/>
      </w:pPr>
    </w:p>
    <w:p w14:paraId="15295233" w14:textId="77777777" w:rsidR="00F4363A" w:rsidRDefault="00F0040D">
      <w:pPr>
        <w:pStyle w:val="BodyText"/>
        <w:ind w:right="1578" w:hanging="1080"/>
        <w:jc w:val="both"/>
      </w:pPr>
      <w:r>
        <w:t>Objective B: Develop and implement long-term financial plan by December 2022 B.1: Exploratory committee report on findings in FY 2019 (Fall 2019) B.2: Develop long-term financial plan (2020)</w:t>
      </w:r>
    </w:p>
    <w:p w14:paraId="6D4319C2" w14:textId="77777777" w:rsidR="00F4363A" w:rsidRDefault="00F0040D">
      <w:pPr>
        <w:pStyle w:val="ListParagraph"/>
        <w:numPr>
          <w:ilvl w:val="0"/>
          <w:numId w:val="2"/>
        </w:numPr>
        <w:tabs>
          <w:tab w:val="left" w:pos="1358"/>
        </w:tabs>
        <w:spacing w:before="2"/>
        <w:ind w:left="1357" w:hanging="177"/>
      </w:pPr>
      <w:r>
        <w:t>3: Implement long-term financial plan</w:t>
      </w:r>
      <w:r>
        <w:rPr>
          <w:spacing w:val="-5"/>
        </w:rPr>
        <w:t xml:space="preserve"> </w:t>
      </w:r>
      <w:r>
        <w:t>(2021)</w:t>
      </w:r>
    </w:p>
    <w:p w14:paraId="42402043" w14:textId="77777777" w:rsidR="00F4363A" w:rsidRDefault="00F0040D">
      <w:pPr>
        <w:pStyle w:val="BodyText"/>
      </w:pPr>
      <w:r>
        <w:t>B.4: Evaluate and restructure plan as needed (2022)</w:t>
      </w:r>
    </w:p>
    <w:p w14:paraId="31227CB0" w14:textId="77777777" w:rsidR="00F4363A" w:rsidRDefault="00F4363A">
      <w:pPr>
        <w:pStyle w:val="BodyText"/>
        <w:ind w:left="0"/>
      </w:pPr>
    </w:p>
    <w:p w14:paraId="13163752" w14:textId="77777777" w:rsidR="00F4363A" w:rsidRDefault="00F0040D">
      <w:pPr>
        <w:pStyle w:val="Heading1"/>
      </w:pPr>
      <w:r>
        <w:t>Goal 2: Increase visibility of the Coalition</w:t>
      </w:r>
    </w:p>
    <w:p w14:paraId="5654EDEC" w14:textId="77777777" w:rsidR="00F4363A" w:rsidRDefault="00F0040D">
      <w:pPr>
        <w:pStyle w:val="BodyText"/>
        <w:spacing w:before="1" w:line="267" w:lineRule="exact"/>
        <w:ind w:left="100"/>
      </w:pPr>
      <w:r>
        <w:t>Objective A: Develop and establish the brand of TxOHC</w:t>
      </w:r>
    </w:p>
    <w:p w14:paraId="13386C3A" w14:textId="77777777" w:rsidR="00F4363A" w:rsidRDefault="00F0040D">
      <w:pPr>
        <w:pStyle w:val="ListParagraph"/>
        <w:numPr>
          <w:ilvl w:val="0"/>
          <w:numId w:val="1"/>
        </w:numPr>
        <w:tabs>
          <w:tab w:val="left" w:pos="1365"/>
        </w:tabs>
        <w:ind w:right="710" w:firstLine="0"/>
      </w:pPr>
      <w:r>
        <w:t>1: Establish a new vision and mission statement (Approve by May 1, 2019) A.2: Develop and implement consistent messaging (2020 during F2F BOD mtg) A.3: Enhance our aesthetics</w:t>
      </w:r>
      <w:r>
        <w:rPr>
          <w:spacing w:val="-5"/>
        </w:rPr>
        <w:t xml:space="preserve"> </w:t>
      </w:r>
      <w:r>
        <w:t>(2021/2022)</w:t>
      </w:r>
    </w:p>
    <w:p w14:paraId="769C995A" w14:textId="77777777" w:rsidR="00F4363A" w:rsidRDefault="00F4363A">
      <w:pPr>
        <w:pStyle w:val="BodyText"/>
        <w:spacing w:before="11"/>
        <w:ind w:left="0"/>
        <w:rPr>
          <w:sz w:val="21"/>
        </w:rPr>
      </w:pPr>
    </w:p>
    <w:p w14:paraId="70B3F8F2" w14:textId="77777777" w:rsidR="00F4363A" w:rsidRDefault="00F0040D">
      <w:pPr>
        <w:pStyle w:val="BodyText"/>
        <w:spacing w:before="1"/>
        <w:ind w:left="100"/>
      </w:pPr>
      <w:r>
        <w:t>Objective B: Enhance strategic partnerships</w:t>
      </w:r>
    </w:p>
    <w:p w14:paraId="43624171" w14:textId="77777777" w:rsidR="00F4363A" w:rsidRDefault="00F0040D">
      <w:pPr>
        <w:pStyle w:val="ListParagraph"/>
        <w:numPr>
          <w:ilvl w:val="0"/>
          <w:numId w:val="1"/>
        </w:numPr>
        <w:tabs>
          <w:tab w:val="left" w:pos="1358"/>
        </w:tabs>
        <w:ind w:right="3921" w:firstLine="0"/>
      </w:pPr>
      <w:r>
        <w:t>1: Rebuild local partnerships (Ongoing) B.2: Enhance state partnerships</w:t>
      </w:r>
      <w:r>
        <w:rPr>
          <w:spacing w:val="-13"/>
        </w:rPr>
        <w:t xml:space="preserve"> </w:t>
      </w:r>
      <w:r>
        <w:t>(Ongoing)</w:t>
      </w:r>
    </w:p>
    <w:p w14:paraId="2B756AB0" w14:textId="77777777" w:rsidR="00F4363A" w:rsidRDefault="00F0040D">
      <w:pPr>
        <w:pStyle w:val="BodyText"/>
        <w:spacing w:before="1"/>
      </w:pPr>
      <w:r>
        <w:t>B.3: Maintain and enhance national partnerships (Ongoing)</w:t>
      </w:r>
    </w:p>
    <w:p w14:paraId="528AA539" w14:textId="77777777" w:rsidR="00F4363A" w:rsidRDefault="00F4363A">
      <w:pPr>
        <w:pStyle w:val="BodyText"/>
        <w:ind w:left="0"/>
      </w:pPr>
    </w:p>
    <w:p w14:paraId="2BF159E5" w14:textId="77777777" w:rsidR="00F4363A" w:rsidRDefault="00F0040D">
      <w:pPr>
        <w:pStyle w:val="Heading1"/>
        <w:spacing w:line="267" w:lineRule="exact"/>
      </w:pPr>
      <w:r>
        <w:t>Goal 3: Drive multi-sector collaborations that promote oral health</w:t>
      </w:r>
    </w:p>
    <w:p w14:paraId="65126607" w14:textId="77777777" w:rsidR="00F4363A" w:rsidRDefault="00F0040D">
      <w:pPr>
        <w:pStyle w:val="BodyText"/>
        <w:ind w:right="2439" w:hanging="1080"/>
      </w:pPr>
      <w:r>
        <w:t>Objective A: Leverage opportunities for collaborations/partnerships A.1: Host annual conference (July 2019 – Ongoing)</w:t>
      </w:r>
    </w:p>
    <w:p w14:paraId="0DE11175" w14:textId="77777777" w:rsidR="00F4363A" w:rsidRDefault="00F0040D">
      <w:pPr>
        <w:pStyle w:val="BodyText"/>
        <w:spacing w:line="267" w:lineRule="exact"/>
      </w:pPr>
      <w:r>
        <w:t>A.2: Provide educational opportunities (Ongoing)</w:t>
      </w:r>
    </w:p>
    <w:p w14:paraId="0E677319" w14:textId="77777777" w:rsidR="00F4363A" w:rsidRDefault="00F0040D">
      <w:pPr>
        <w:pStyle w:val="BodyText"/>
        <w:spacing w:line="267" w:lineRule="exact"/>
      </w:pPr>
      <w:r>
        <w:t>A.3: Expand TxOHC influence in other sectors or coalitions</w:t>
      </w:r>
    </w:p>
    <w:sectPr w:rsidR="00F4363A">
      <w:type w:val="continuous"/>
      <w:pgSz w:w="12240" w:h="15840"/>
      <w:pgMar w:top="142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F7676"/>
    <w:multiLevelType w:val="hybridMultilevel"/>
    <w:tmpl w:val="C2DC1248"/>
    <w:lvl w:ilvl="0" w:tplc="A87646CE">
      <w:start w:val="1"/>
      <w:numFmt w:val="upperLetter"/>
      <w:lvlText w:val="%1."/>
      <w:lvlJc w:val="left"/>
      <w:pPr>
        <w:ind w:left="1180" w:hanging="18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en-US"/>
      </w:rPr>
    </w:lvl>
    <w:lvl w:ilvl="1" w:tplc="D11C991A">
      <w:numFmt w:val="bullet"/>
      <w:lvlText w:val="•"/>
      <w:lvlJc w:val="left"/>
      <w:pPr>
        <w:ind w:left="1954" w:hanging="185"/>
      </w:pPr>
      <w:rPr>
        <w:rFonts w:hint="default"/>
        <w:lang w:val="en-US" w:eastAsia="en-US" w:bidi="en-US"/>
      </w:rPr>
    </w:lvl>
    <w:lvl w:ilvl="2" w:tplc="E2A0B53C">
      <w:numFmt w:val="bullet"/>
      <w:lvlText w:val="•"/>
      <w:lvlJc w:val="left"/>
      <w:pPr>
        <w:ind w:left="2728" w:hanging="185"/>
      </w:pPr>
      <w:rPr>
        <w:rFonts w:hint="default"/>
        <w:lang w:val="en-US" w:eastAsia="en-US" w:bidi="en-US"/>
      </w:rPr>
    </w:lvl>
    <w:lvl w:ilvl="3" w:tplc="51020964">
      <w:numFmt w:val="bullet"/>
      <w:lvlText w:val="•"/>
      <w:lvlJc w:val="left"/>
      <w:pPr>
        <w:ind w:left="3502" w:hanging="185"/>
      </w:pPr>
      <w:rPr>
        <w:rFonts w:hint="default"/>
        <w:lang w:val="en-US" w:eastAsia="en-US" w:bidi="en-US"/>
      </w:rPr>
    </w:lvl>
    <w:lvl w:ilvl="4" w:tplc="B5065B84">
      <w:numFmt w:val="bullet"/>
      <w:lvlText w:val="•"/>
      <w:lvlJc w:val="left"/>
      <w:pPr>
        <w:ind w:left="4276" w:hanging="185"/>
      </w:pPr>
      <w:rPr>
        <w:rFonts w:hint="default"/>
        <w:lang w:val="en-US" w:eastAsia="en-US" w:bidi="en-US"/>
      </w:rPr>
    </w:lvl>
    <w:lvl w:ilvl="5" w:tplc="5BC4E458">
      <w:numFmt w:val="bullet"/>
      <w:lvlText w:val="•"/>
      <w:lvlJc w:val="left"/>
      <w:pPr>
        <w:ind w:left="5050" w:hanging="185"/>
      </w:pPr>
      <w:rPr>
        <w:rFonts w:hint="default"/>
        <w:lang w:val="en-US" w:eastAsia="en-US" w:bidi="en-US"/>
      </w:rPr>
    </w:lvl>
    <w:lvl w:ilvl="6" w:tplc="AEA0D042">
      <w:numFmt w:val="bullet"/>
      <w:lvlText w:val="•"/>
      <w:lvlJc w:val="left"/>
      <w:pPr>
        <w:ind w:left="5824" w:hanging="185"/>
      </w:pPr>
      <w:rPr>
        <w:rFonts w:hint="default"/>
        <w:lang w:val="en-US" w:eastAsia="en-US" w:bidi="en-US"/>
      </w:rPr>
    </w:lvl>
    <w:lvl w:ilvl="7" w:tplc="251C0A20">
      <w:numFmt w:val="bullet"/>
      <w:lvlText w:val="•"/>
      <w:lvlJc w:val="left"/>
      <w:pPr>
        <w:ind w:left="6598" w:hanging="185"/>
      </w:pPr>
      <w:rPr>
        <w:rFonts w:hint="default"/>
        <w:lang w:val="en-US" w:eastAsia="en-US" w:bidi="en-US"/>
      </w:rPr>
    </w:lvl>
    <w:lvl w:ilvl="8" w:tplc="B05A1082">
      <w:numFmt w:val="bullet"/>
      <w:lvlText w:val="•"/>
      <w:lvlJc w:val="left"/>
      <w:pPr>
        <w:ind w:left="7372" w:hanging="185"/>
      </w:pPr>
      <w:rPr>
        <w:rFonts w:hint="default"/>
        <w:lang w:val="en-US" w:eastAsia="en-US" w:bidi="en-US"/>
      </w:rPr>
    </w:lvl>
  </w:abstractNum>
  <w:abstractNum w:abstractNumId="1" w15:restartNumberingAfterBreak="0">
    <w:nsid w:val="4C9B27F4"/>
    <w:multiLevelType w:val="hybridMultilevel"/>
    <w:tmpl w:val="F37C9A56"/>
    <w:lvl w:ilvl="0" w:tplc="5D4A7386">
      <w:start w:val="1"/>
      <w:numFmt w:val="upperLetter"/>
      <w:lvlText w:val="%1."/>
      <w:lvlJc w:val="left"/>
      <w:pPr>
        <w:ind w:left="1364" w:hanging="18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en-US"/>
      </w:rPr>
    </w:lvl>
    <w:lvl w:ilvl="1" w:tplc="61DA4BEA">
      <w:numFmt w:val="bullet"/>
      <w:lvlText w:val="•"/>
      <w:lvlJc w:val="left"/>
      <w:pPr>
        <w:ind w:left="2116" w:hanging="185"/>
      </w:pPr>
      <w:rPr>
        <w:rFonts w:hint="default"/>
        <w:lang w:val="en-US" w:eastAsia="en-US" w:bidi="en-US"/>
      </w:rPr>
    </w:lvl>
    <w:lvl w:ilvl="2" w:tplc="DB4EE754">
      <w:numFmt w:val="bullet"/>
      <w:lvlText w:val="•"/>
      <w:lvlJc w:val="left"/>
      <w:pPr>
        <w:ind w:left="2872" w:hanging="185"/>
      </w:pPr>
      <w:rPr>
        <w:rFonts w:hint="default"/>
        <w:lang w:val="en-US" w:eastAsia="en-US" w:bidi="en-US"/>
      </w:rPr>
    </w:lvl>
    <w:lvl w:ilvl="3" w:tplc="09D8192A">
      <w:numFmt w:val="bullet"/>
      <w:lvlText w:val="•"/>
      <w:lvlJc w:val="left"/>
      <w:pPr>
        <w:ind w:left="3628" w:hanging="185"/>
      </w:pPr>
      <w:rPr>
        <w:rFonts w:hint="default"/>
        <w:lang w:val="en-US" w:eastAsia="en-US" w:bidi="en-US"/>
      </w:rPr>
    </w:lvl>
    <w:lvl w:ilvl="4" w:tplc="C2FE0D9E">
      <w:numFmt w:val="bullet"/>
      <w:lvlText w:val="•"/>
      <w:lvlJc w:val="left"/>
      <w:pPr>
        <w:ind w:left="4384" w:hanging="185"/>
      </w:pPr>
      <w:rPr>
        <w:rFonts w:hint="default"/>
        <w:lang w:val="en-US" w:eastAsia="en-US" w:bidi="en-US"/>
      </w:rPr>
    </w:lvl>
    <w:lvl w:ilvl="5" w:tplc="E0B288CE">
      <w:numFmt w:val="bullet"/>
      <w:lvlText w:val="•"/>
      <w:lvlJc w:val="left"/>
      <w:pPr>
        <w:ind w:left="5140" w:hanging="185"/>
      </w:pPr>
      <w:rPr>
        <w:rFonts w:hint="default"/>
        <w:lang w:val="en-US" w:eastAsia="en-US" w:bidi="en-US"/>
      </w:rPr>
    </w:lvl>
    <w:lvl w:ilvl="6" w:tplc="D8EC7E96">
      <w:numFmt w:val="bullet"/>
      <w:lvlText w:val="•"/>
      <w:lvlJc w:val="left"/>
      <w:pPr>
        <w:ind w:left="5896" w:hanging="185"/>
      </w:pPr>
      <w:rPr>
        <w:rFonts w:hint="default"/>
        <w:lang w:val="en-US" w:eastAsia="en-US" w:bidi="en-US"/>
      </w:rPr>
    </w:lvl>
    <w:lvl w:ilvl="7" w:tplc="CFC8A01E">
      <w:numFmt w:val="bullet"/>
      <w:lvlText w:val="•"/>
      <w:lvlJc w:val="left"/>
      <w:pPr>
        <w:ind w:left="6652" w:hanging="185"/>
      </w:pPr>
      <w:rPr>
        <w:rFonts w:hint="default"/>
        <w:lang w:val="en-US" w:eastAsia="en-US" w:bidi="en-US"/>
      </w:rPr>
    </w:lvl>
    <w:lvl w:ilvl="8" w:tplc="0E58A682">
      <w:numFmt w:val="bullet"/>
      <w:lvlText w:val="•"/>
      <w:lvlJc w:val="left"/>
      <w:pPr>
        <w:ind w:left="7408" w:hanging="18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A"/>
    <w:rsid w:val="0061726B"/>
    <w:rsid w:val="00F0040D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030"/>
  <w15:docId w15:val="{DE86CCCF-B93D-431C-9B0E-6901A09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</w:style>
  <w:style w:type="paragraph" w:styleId="ListParagraph">
    <w:name w:val="List Paragraph"/>
    <w:basedOn w:val="Normal"/>
    <w:uiPriority w:val="1"/>
    <w:qFormat/>
    <w:pPr>
      <w:ind w:left="1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Stewart</dc:creator>
  <cp:lastModifiedBy>Jessica Stewart</cp:lastModifiedBy>
  <cp:revision>2</cp:revision>
  <dcterms:created xsi:type="dcterms:W3CDTF">2020-02-17T23:25:00Z</dcterms:created>
  <dcterms:modified xsi:type="dcterms:W3CDTF">2020-02-17T23:25:00Z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